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46"/>
          <w:szCs w:val="46"/>
        </w:rPr>
      </w:pPr>
      <w:bookmarkStart w:colFirst="0" w:colLast="0" w:name="_scwwyph7zpv" w:id="0"/>
      <w:bookmarkEnd w:id="0"/>
      <w:r w:rsidDel="00000000" w:rsidR="00000000" w:rsidRPr="00000000">
        <w:rPr>
          <w:sz w:val="46"/>
          <w:szCs w:val="46"/>
          <w:rtl w:val="0"/>
        </w:rPr>
        <w:t xml:space="preserve">Podcast Guest Overview: Dene Hager</w:t>
      </w:r>
    </w:p>
    <w:p w:rsidR="00000000" w:rsidDel="00000000" w:rsidP="00000000" w:rsidRDefault="00000000" w:rsidRPr="00000000" w14:paraId="00000002">
      <w:pPr>
        <w:rPr>
          <w:sz w:val="20"/>
          <w:szCs w:val="20"/>
        </w:rPr>
      </w:pPr>
      <w:r w:rsidDel="00000000" w:rsidR="00000000" w:rsidRPr="00000000">
        <w:rPr>
          <w:sz w:val="20"/>
          <w:szCs w:val="20"/>
          <w:rtl w:val="0"/>
        </w:rPr>
        <w:t xml:space="preserve">Dene Hager is the founder of Fifth Element, a framework and consultancy dedicated to building ethical, sustainable, and rigorously operational businesses. This document is intended to concisely position Dene as a high-value, substantive guest for podcasts focused on business, sustainability, justice, operations, or holistic practice.</w:t>
      </w:r>
    </w:p>
    <w:p w:rsidR="00000000" w:rsidDel="00000000" w:rsidP="00000000" w:rsidRDefault="00000000" w:rsidRPr="00000000" w14:paraId="00000003">
      <w:pPr>
        <w:pStyle w:val="Heading1"/>
        <w:rPr>
          <w:sz w:val="30"/>
          <w:szCs w:val="30"/>
        </w:rPr>
      </w:pPr>
      <w:bookmarkStart w:colFirst="0" w:colLast="0" w:name="_m8ez6hy7dte" w:id="1"/>
      <w:bookmarkEnd w:id="1"/>
      <w:r w:rsidDel="00000000" w:rsidR="00000000" w:rsidRPr="00000000">
        <w:rPr>
          <w:sz w:val="30"/>
          <w:szCs w:val="30"/>
          <w:rtl w:val="0"/>
        </w:rPr>
        <w:t xml:space="preserve">1. About Dene</w:t>
      </w:r>
    </w:p>
    <w:p w:rsidR="00000000" w:rsidDel="00000000" w:rsidP="00000000" w:rsidRDefault="00000000" w:rsidRPr="00000000" w14:paraId="00000004">
      <w:pPr>
        <w:rPr>
          <w:sz w:val="20"/>
          <w:szCs w:val="20"/>
        </w:rPr>
      </w:pPr>
      <w:r w:rsidDel="00000000" w:rsidR="00000000" w:rsidRPr="00000000">
        <w:rPr>
          <w:sz w:val="20"/>
          <w:szCs w:val="20"/>
          <w:rtl w:val="0"/>
        </w:rPr>
        <w:t xml:space="preserve">Dene Hager is a justice-centered strategist and trauma-informed business coach who created the Fifth Element Framework. Dene's work emphasizes clarity, consent, sustainability, and operational rigor. Dene helps founders and practitioners build businesses that are ethical, sustainable, and grounded in real capacity—not hype. The focus is on implementing sustainable systems and non-extractive practices that prioritize both people and planetary well-being.</w:t>
      </w:r>
    </w:p>
    <w:p w:rsidR="00000000" w:rsidDel="00000000" w:rsidP="00000000" w:rsidRDefault="00000000" w:rsidRPr="00000000" w14:paraId="00000005">
      <w:pPr>
        <w:pStyle w:val="Heading1"/>
        <w:rPr>
          <w:sz w:val="30"/>
          <w:szCs w:val="30"/>
        </w:rPr>
      </w:pPr>
      <w:bookmarkStart w:colFirst="0" w:colLast="0" w:name="_ylqq2ej7s8bh" w:id="2"/>
      <w:bookmarkEnd w:id="2"/>
      <w:r w:rsidDel="00000000" w:rsidR="00000000" w:rsidRPr="00000000">
        <w:rPr>
          <w:sz w:val="30"/>
          <w:szCs w:val="30"/>
          <w:rtl w:val="0"/>
        </w:rPr>
        <w:t xml:space="preserve">2. Core Topics Dene Speaks On</w:t>
      </w:r>
    </w:p>
    <w:p w:rsidR="00000000" w:rsidDel="00000000" w:rsidP="00000000" w:rsidRDefault="00000000" w:rsidRPr="00000000" w14:paraId="00000006">
      <w:pPr>
        <w:numPr>
          <w:ilvl w:val="0"/>
          <w:numId w:val="1"/>
        </w:numPr>
        <w:ind w:left="720" w:hanging="360"/>
        <w:rPr>
          <w:sz w:val="20"/>
          <w:szCs w:val="20"/>
        </w:rPr>
      </w:pPr>
      <w:r w:rsidDel="00000000" w:rsidR="00000000" w:rsidRPr="00000000">
        <w:rPr>
          <w:sz w:val="20"/>
          <w:szCs w:val="20"/>
          <w:rtl w:val="0"/>
        </w:rPr>
        <w:t xml:space="preserve">Justice-centered business design and resource distribution</w:t>
      </w:r>
    </w:p>
    <w:p w:rsidR="00000000" w:rsidDel="00000000" w:rsidP="00000000" w:rsidRDefault="00000000" w:rsidRPr="00000000" w14:paraId="00000007">
      <w:pPr>
        <w:numPr>
          <w:ilvl w:val="0"/>
          <w:numId w:val="1"/>
        </w:numPr>
        <w:ind w:left="720" w:hanging="360"/>
        <w:rPr>
          <w:sz w:val="20"/>
          <w:szCs w:val="20"/>
        </w:rPr>
      </w:pPr>
      <w:r w:rsidDel="00000000" w:rsidR="00000000" w:rsidRPr="00000000">
        <w:rPr>
          <w:sz w:val="20"/>
          <w:szCs w:val="20"/>
          <w:rtl w:val="0"/>
        </w:rPr>
        <w:t xml:space="preserve">Trauma-informed operations and establishing sustainable boundaries</w:t>
      </w:r>
    </w:p>
    <w:p w:rsidR="00000000" w:rsidDel="00000000" w:rsidP="00000000" w:rsidRDefault="00000000" w:rsidRPr="00000000" w14:paraId="00000008">
      <w:pPr>
        <w:numPr>
          <w:ilvl w:val="0"/>
          <w:numId w:val="1"/>
        </w:numPr>
        <w:ind w:left="720" w:hanging="360"/>
        <w:rPr>
          <w:sz w:val="20"/>
          <w:szCs w:val="20"/>
        </w:rPr>
      </w:pPr>
      <w:r w:rsidDel="00000000" w:rsidR="00000000" w:rsidRPr="00000000">
        <w:rPr>
          <w:sz w:val="20"/>
          <w:szCs w:val="20"/>
          <w:rtl w:val="0"/>
        </w:rPr>
        <w:t xml:space="preserve">Designing sustainable systems for small businesses (capacity, time, energy)</w:t>
      </w:r>
    </w:p>
    <w:p w:rsidR="00000000" w:rsidDel="00000000" w:rsidP="00000000" w:rsidRDefault="00000000" w:rsidRPr="00000000" w14:paraId="00000009">
      <w:pPr>
        <w:numPr>
          <w:ilvl w:val="0"/>
          <w:numId w:val="1"/>
        </w:numPr>
        <w:ind w:left="720" w:hanging="360"/>
        <w:rPr>
          <w:sz w:val="20"/>
          <w:szCs w:val="20"/>
        </w:rPr>
      </w:pPr>
      <w:r w:rsidDel="00000000" w:rsidR="00000000" w:rsidRPr="00000000">
        <w:rPr>
          <w:sz w:val="20"/>
          <w:szCs w:val="20"/>
          <w:rtl w:val="0"/>
        </w:rPr>
        <w:t xml:space="preserve">Clarity-driven decision-making and operational truth</w:t>
      </w:r>
    </w:p>
    <w:p w:rsidR="00000000" w:rsidDel="00000000" w:rsidP="00000000" w:rsidRDefault="00000000" w:rsidRPr="00000000" w14:paraId="0000000A">
      <w:pPr>
        <w:numPr>
          <w:ilvl w:val="0"/>
          <w:numId w:val="1"/>
        </w:numPr>
        <w:ind w:left="720" w:hanging="360"/>
        <w:rPr>
          <w:sz w:val="20"/>
          <w:szCs w:val="20"/>
        </w:rPr>
      </w:pPr>
      <w:r w:rsidDel="00000000" w:rsidR="00000000" w:rsidRPr="00000000">
        <w:rPr>
          <w:sz w:val="20"/>
          <w:szCs w:val="20"/>
          <w:rtl w:val="0"/>
        </w:rPr>
        <w:t xml:space="preserve">Zero-waste and regenerative business practices</w:t>
      </w:r>
    </w:p>
    <w:p w:rsidR="00000000" w:rsidDel="00000000" w:rsidP="00000000" w:rsidRDefault="00000000" w:rsidRPr="00000000" w14:paraId="0000000B">
      <w:pPr>
        <w:numPr>
          <w:ilvl w:val="0"/>
          <w:numId w:val="1"/>
        </w:numPr>
        <w:ind w:left="720" w:hanging="360"/>
        <w:rPr>
          <w:sz w:val="20"/>
          <w:szCs w:val="20"/>
        </w:rPr>
      </w:pPr>
      <w:r w:rsidDel="00000000" w:rsidR="00000000" w:rsidRPr="00000000">
        <w:rPr>
          <w:sz w:val="20"/>
          <w:szCs w:val="20"/>
          <w:rtl w:val="0"/>
        </w:rPr>
        <w:t xml:space="preserve">The Fifth Element Framework as a diagnostic tool for business health</w:t>
      </w:r>
    </w:p>
    <w:p w:rsidR="00000000" w:rsidDel="00000000" w:rsidP="00000000" w:rsidRDefault="00000000" w:rsidRPr="00000000" w14:paraId="0000000C">
      <w:pPr>
        <w:pStyle w:val="Heading1"/>
        <w:rPr>
          <w:sz w:val="30"/>
          <w:szCs w:val="30"/>
        </w:rPr>
      </w:pPr>
      <w:bookmarkStart w:colFirst="0" w:colLast="0" w:name="_qf6v22fiwc8x" w:id="3"/>
      <w:bookmarkEnd w:id="3"/>
      <w:r w:rsidDel="00000000" w:rsidR="00000000" w:rsidRPr="00000000">
        <w:rPr>
          <w:sz w:val="30"/>
          <w:szCs w:val="30"/>
          <w:rtl w:val="0"/>
        </w:rPr>
        <w:t xml:space="preserve">3. What Audiences Gain</w:t>
      </w:r>
    </w:p>
    <w:p w:rsidR="00000000" w:rsidDel="00000000" w:rsidP="00000000" w:rsidRDefault="00000000" w:rsidRPr="00000000" w14:paraId="0000000D">
      <w:pPr>
        <w:rPr>
          <w:sz w:val="20"/>
          <w:szCs w:val="20"/>
        </w:rPr>
      </w:pPr>
      <w:r w:rsidDel="00000000" w:rsidR="00000000" w:rsidRPr="00000000">
        <w:rPr>
          <w:sz w:val="20"/>
          <w:szCs w:val="20"/>
          <w:rtl w:val="0"/>
        </w:rPr>
        <w:t xml:space="preserve">Listeners receive grounded insights, not inspiration. Dene provides practical evaluation tools and clarity about what is working and what is not in their existing business models. Audiences gain access to a framework for building sustainable, non-extractive businesses that are built to last without relying on hustle culture or over-extension.</w:t>
      </w:r>
    </w:p>
    <w:p w:rsidR="00000000" w:rsidDel="00000000" w:rsidP="00000000" w:rsidRDefault="00000000" w:rsidRPr="00000000" w14:paraId="0000000E">
      <w:pPr>
        <w:pStyle w:val="Heading1"/>
        <w:rPr>
          <w:sz w:val="30"/>
          <w:szCs w:val="30"/>
        </w:rPr>
      </w:pPr>
      <w:bookmarkStart w:colFirst="0" w:colLast="0" w:name="_cccuyx3iruep" w:id="4"/>
      <w:bookmarkEnd w:id="4"/>
      <w:r w:rsidDel="00000000" w:rsidR="00000000" w:rsidRPr="00000000">
        <w:rPr>
          <w:sz w:val="30"/>
          <w:szCs w:val="30"/>
          <w:rtl w:val="0"/>
        </w:rPr>
        <w:t xml:space="preserve">4. Dene’s Approach to Interviews</w:t>
      </w:r>
    </w:p>
    <w:p w:rsidR="00000000" w:rsidDel="00000000" w:rsidP="00000000" w:rsidRDefault="00000000" w:rsidRPr="00000000" w14:paraId="0000000F">
      <w:pPr>
        <w:rPr>
          <w:sz w:val="20"/>
          <w:szCs w:val="20"/>
        </w:rPr>
      </w:pPr>
      <w:r w:rsidDel="00000000" w:rsidR="00000000" w:rsidRPr="00000000">
        <w:rPr>
          <w:sz w:val="20"/>
          <w:szCs w:val="20"/>
          <w:rtl w:val="0"/>
        </w:rPr>
        <w:t xml:space="preserve">Dene speaks plainly, avoids corporate jargon, and focuses on operational truth. The goal is a substantive conversation—no performance, no pitches, and no inspirational fluff. Dene is committed to honesty, rigor, and making complex business concepts accessible to practitioners at all stages.</w:t>
      </w:r>
    </w:p>
    <w:p w:rsidR="00000000" w:rsidDel="00000000" w:rsidP="00000000" w:rsidRDefault="00000000" w:rsidRPr="00000000" w14:paraId="00000010">
      <w:pPr>
        <w:pStyle w:val="Heading1"/>
        <w:rPr>
          <w:sz w:val="30"/>
          <w:szCs w:val="30"/>
        </w:rPr>
      </w:pPr>
      <w:bookmarkStart w:colFirst="0" w:colLast="0" w:name="_sakotouykv7t" w:id="5"/>
      <w:bookmarkEnd w:id="5"/>
      <w:r w:rsidDel="00000000" w:rsidR="00000000" w:rsidRPr="00000000">
        <w:rPr>
          <w:sz w:val="30"/>
          <w:szCs w:val="30"/>
          <w:rtl w:val="0"/>
        </w:rPr>
        <w:t xml:space="preserve">5. Suggested Interview Questions</w:t>
      </w:r>
    </w:p>
    <w:p w:rsidR="00000000" w:rsidDel="00000000" w:rsidP="00000000" w:rsidRDefault="00000000" w:rsidRPr="00000000" w14:paraId="00000011">
      <w:pPr>
        <w:numPr>
          <w:ilvl w:val="0"/>
          <w:numId w:val="2"/>
        </w:numPr>
        <w:ind w:left="720" w:hanging="360"/>
        <w:rPr>
          <w:sz w:val="20"/>
          <w:szCs w:val="20"/>
        </w:rPr>
      </w:pPr>
      <w:r w:rsidDel="00000000" w:rsidR="00000000" w:rsidRPr="00000000">
        <w:rPr>
          <w:sz w:val="20"/>
          <w:szCs w:val="20"/>
          <w:rtl w:val="0"/>
        </w:rPr>
        <w:t xml:space="preserve">How do we move beyond "inspiration" and build a business based on genuine, non-extractive capacity?</w:t>
      </w:r>
    </w:p>
    <w:p w:rsidR="00000000" w:rsidDel="00000000" w:rsidP="00000000" w:rsidRDefault="00000000" w:rsidRPr="00000000" w14:paraId="00000012">
      <w:pPr>
        <w:numPr>
          <w:ilvl w:val="0"/>
          <w:numId w:val="2"/>
        </w:numPr>
        <w:ind w:left="720" w:hanging="360"/>
        <w:rPr>
          <w:sz w:val="20"/>
          <w:szCs w:val="20"/>
        </w:rPr>
      </w:pPr>
      <w:r w:rsidDel="00000000" w:rsidR="00000000" w:rsidRPr="00000000">
        <w:rPr>
          <w:sz w:val="20"/>
          <w:szCs w:val="20"/>
          <w:rtl w:val="0"/>
        </w:rPr>
        <w:t xml:space="preserve">What does true operational consent look like, and how do small businesses start implementing it?</w:t>
      </w:r>
    </w:p>
    <w:p w:rsidR="00000000" w:rsidDel="00000000" w:rsidP="00000000" w:rsidRDefault="00000000" w:rsidRPr="00000000" w14:paraId="00000013">
      <w:pPr>
        <w:numPr>
          <w:ilvl w:val="0"/>
          <w:numId w:val="2"/>
        </w:numPr>
        <w:ind w:left="720" w:hanging="360"/>
        <w:rPr>
          <w:sz w:val="20"/>
          <w:szCs w:val="20"/>
        </w:rPr>
      </w:pPr>
      <w:r w:rsidDel="00000000" w:rsidR="00000000" w:rsidRPr="00000000">
        <w:rPr>
          <w:sz w:val="20"/>
          <w:szCs w:val="20"/>
          <w:rtl w:val="0"/>
        </w:rPr>
        <w:t xml:space="preserve">Explain the Fifth Element Framework—what is it, and how is it used as a diagnostic tool?</w:t>
      </w:r>
    </w:p>
    <w:p w:rsidR="00000000" w:rsidDel="00000000" w:rsidP="00000000" w:rsidRDefault="00000000" w:rsidRPr="00000000" w14:paraId="00000014">
      <w:pPr>
        <w:numPr>
          <w:ilvl w:val="0"/>
          <w:numId w:val="2"/>
        </w:numPr>
        <w:ind w:left="720" w:hanging="360"/>
        <w:rPr>
          <w:sz w:val="20"/>
          <w:szCs w:val="20"/>
        </w:rPr>
      </w:pPr>
      <w:r w:rsidDel="00000000" w:rsidR="00000000" w:rsidRPr="00000000">
        <w:rPr>
          <w:sz w:val="20"/>
          <w:szCs w:val="20"/>
          <w:rtl w:val="0"/>
        </w:rPr>
        <w:t xml:space="preserve">What are the most common ways trauma shows up in business operations and boundaries?</w:t>
      </w:r>
    </w:p>
    <w:p w:rsidR="00000000" w:rsidDel="00000000" w:rsidP="00000000" w:rsidRDefault="00000000" w:rsidRPr="00000000" w14:paraId="00000015">
      <w:pPr>
        <w:numPr>
          <w:ilvl w:val="0"/>
          <w:numId w:val="2"/>
        </w:numPr>
        <w:ind w:left="720" w:hanging="360"/>
        <w:rPr>
          <w:sz w:val="20"/>
          <w:szCs w:val="20"/>
        </w:rPr>
      </w:pPr>
      <w:r w:rsidDel="00000000" w:rsidR="00000000" w:rsidRPr="00000000">
        <w:rPr>
          <w:sz w:val="20"/>
          <w:szCs w:val="20"/>
          <w:rtl w:val="0"/>
        </w:rPr>
        <w:t xml:space="preserve">What is the difference between an ethical business and a justice-centered business in practice?</w:t>
      </w:r>
    </w:p>
    <w:p w:rsidR="00000000" w:rsidDel="00000000" w:rsidP="00000000" w:rsidRDefault="00000000" w:rsidRPr="00000000" w14:paraId="00000016">
      <w:pPr>
        <w:numPr>
          <w:ilvl w:val="0"/>
          <w:numId w:val="2"/>
        </w:numPr>
        <w:ind w:left="720" w:hanging="360"/>
        <w:rPr>
          <w:sz w:val="20"/>
          <w:szCs w:val="20"/>
        </w:rPr>
      </w:pPr>
      <w:r w:rsidDel="00000000" w:rsidR="00000000" w:rsidRPr="00000000">
        <w:rPr>
          <w:sz w:val="20"/>
          <w:szCs w:val="20"/>
          <w:rtl w:val="0"/>
        </w:rPr>
        <w:t xml:space="preserve">For a founder struggling with burnout, how do they use clarity to identify what must be eliminated from their work?</w:t>
      </w:r>
    </w:p>
    <w:p w:rsidR="00000000" w:rsidDel="00000000" w:rsidP="00000000" w:rsidRDefault="00000000" w:rsidRPr="00000000" w14:paraId="00000017">
      <w:pPr>
        <w:numPr>
          <w:ilvl w:val="0"/>
          <w:numId w:val="2"/>
        </w:numPr>
        <w:ind w:left="720" w:hanging="360"/>
        <w:rPr>
          <w:sz w:val="20"/>
          <w:szCs w:val="20"/>
        </w:rPr>
      </w:pPr>
      <w:r w:rsidDel="00000000" w:rsidR="00000000" w:rsidRPr="00000000">
        <w:rPr>
          <w:sz w:val="20"/>
          <w:szCs w:val="20"/>
          <w:rtl w:val="0"/>
        </w:rPr>
        <w:t xml:space="preserve">What are 1-2 concrete steps a small business can take this week to improve its sustainability?</w:t>
      </w:r>
    </w:p>
    <w:p w:rsidR="00000000" w:rsidDel="00000000" w:rsidP="00000000" w:rsidRDefault="00000000" w:rsidRPr="00000000" w14:paraId="00000018">
      <w:pPr>
        <w:pStyle w:val="Heading1"/>
        <w:rPr>
          <w:sz w:val="30"/>
          <w:szCs w:val="30"/>
        </w:rPr>
      </w:pPr>
      <w:bookmarkStart w:colFirst="0" w:colLast="0" w:name="_5aptn1lvyszg" w:id="6"/>
      <w:bookmarkEnd w:id="6"/>
      <w:r w:rsidDel="00000000" w:rsidR="00000000" w:rsidRPr="00000000">
        <w:rPr>
          <w:sz w:val="30"/>
          <w:szCs w:val="30"/>
          <w:rtl w:val="0"/>
        </w:rPr>
        <w:t xml:space="preserve">6. Logistics</w:t>
      </w:r>
    </w:p>
    <w:p w:rsidR="00000000" w:rsidDel="00000000" w:rsidP="00000000" w:rsidRDefault="00000000" w:rsidRPr="00000000" w14:paraId="00000019">
      <w:pPr>
        <w:rPr>
          <w:sz w:val="20"/>
          <w:szCs w:val="20"/>
        </w:rPr>
      </w:pPr>
      <w:r w:rsidDel="00000000" w:rsidR="00000000" w:rsidRPr="00000000">
        <w:rPr>
          <w:sz w:val="20"/>
          <w:szCs w:val="20"/>
          <w:rtl w:val="0"/>
        </w:rPr>
        <w:t xml:space="preserve">Dene is available for remote interviews.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1"/>
        <w:tblW w:w="10000.0" w:type="dxa"/>
        <w:jc w:val="left"/>
        <w:tblBorders>
          <w:top w:color="747775" w:space="0" w:sz="8" w:val="single"/>
          <w:left w:color="000000" w:space="0" w:sz="0" w:val="nil"/>
          <w:bottom w:color="747775" w:space="0" w:sz="8" w:val="single"/>
          <w:right w:color="000000" w:space="0" w:sz="0" w:val="nil"/>
          <w:insideH w:color="747775" w:space="0" w:sz="8" w:val="single"/>
          <w:insideV w:color="000000" w:space="0" w:sz="0" w:val="nil"/>
        </w:tblBorders>
        <w:tblLayout w:type="fixed"/>
        <w:tblLook w:val="0620"/>
      </w:tblPr>
      <w:tblGrid>
        <w:gridCol w:w="5000"/>
        <w:gridCol w:w="5000"/>
        <w:tblGridChange w:id="0">
          <w:tblGrid>
            <w:gridCol w:w="5000"/>
            <w:gridCol w:w="5000"/>
          </w:tblGrid>
        </w:tblGridChange>
      </w:tblGrid>
      <w:tr>
        <w:trPr>
          <w:cantSplit w:val="0"/>
          <w:trHeight w:val="708.48" w:hRule="atLeast"/>
          <w:tblHeader w:val="1"/>
        </w:trPr>
        <w:tc>
          <w:tcPr/>
          <w:p w:rsidR="00000000" w:rsidDel="00000000" w:rsidP="00000000" w:rsidRDefault="00000000" w:rsidRPr="00000000" w14:paraId="0000001B">
            <w:pPr>
              <w:rPr>
                <w:sz w:val="20"/>
                <w:szCs w:val="20"/>
              </w:rPr>
            </w:pPr>
            <w:r w:rsidDel="00000000" w:rsidR="00000000" w:rsidRPr="00000000">
              <w:rPr>
                <w:sz w:val="20"/>
                <w:szCs w:val="20"/>
                <w:rtl w:val="0"/>
              </w:rPr>
              <w:t xml:space="preserve">Detail</w:t>
            </w:r>
          </w:p>
        </w:tc>
        <w:tc>
          <w:tcPr/>
          <w:p w:rsidR="00000000" w:rsidDel="00000000" w:rsidP="00000000" w:rsidRDefault="00000000" w:rsidRPr="00000000" w14:paraId="0000001C">
            <w:pPr>
              <w:rPr>
                <w:sz w:val="20"/>
                <w:szCs w:val="20"/>
              </w:rPr>
            </w:pPr>
            <w:r w:rsidDel="00000000" w:rsidR="00000000" w:rsidRPr="00000000">
              <w:rPr>
                <w:sz w:val="20"/>
                <w:szCs w:val="20"/>
                <w:rtl w:val="0"/>
              </w:rPr>
              <w:t xml:space="preserve">Specification</w:t>
            </w:r>
          </w:p>
        </w:tc>
      </w:tr>
      <w:tr>
        <w:trPr>
          <w:cantSplit w:val="0"/>
          <w:trHeight w:val="564.48" w:hRule="atLeast"/>
          <w:tblHeader w:val="0"/>
        </w:trPr>
        <w:tc>
          <w:tcPr/>
          <w:p w:rsidR="00000000" w:rsidDel="00000000" w:rsidP="00000000" w:rsidRDefault="00000000" w:rsidRPr="00000000" w14:paraId="0000001D">
            <w:pPr>
              <w:rPr>
                <w:sz w:val="20"/>
                <w:szCs w:val="20"/>
              </w:rPr>
            </w:pPr>
            <w:r w:rsidDel="00000000" w:rsidR="00000000" w:rsidRPr="00000000">
              <w:rPr>
                <w:sz w:val="20"/>
                <w:szCs w:val="20"/>
                <w:rtl w:val="0"/>
              </w:rPr>
              <w:t xml:space="preserve">Recording Preference</w:t>
            </w:r>
          </w:p>
        </w:tc>
        <w:tc>
          <w:tcPr/>
          <w:p w:rsidR="00000000" w:rsidDel="00000000" w:rsidP="00000000" w:rsidRDefault="00000000" w:rsidRPr="00000000" w14:paraId="0000001E">
            <w:pPr>
              <w:rPr>
                <w:sz w:val="20"/>
                <w:szCs w:val="20"/>
              </w:rPr>
            </w:pPr>
            <w:r w:rsidDel="00000000" w:rsidR="00000000" w:rsidRPr="00000000">
              <w:rPr>
                <w:sz w:val="20"/>
                <w:szCs w:val="20"/>
                <w:rtl w:val="0"/>
              </w:rPr>
              <w:t xml:space="preserve">Remote, Audio-only (Video optional)</w:t>
            </w:r>
          </w:p>
        </w:tc>
      </w:tr>
      <w:tr>
        <w:trPr>
          <w:cantSplit w:val="0"/>
          <w:trHeight w:val="564.48" w:hRule="atLeast"/>
          <w:tblHeader w:val="0"/>
        </w:trPr>
        <w:tc>
          <w:tcPr/>
          <w:p w:rsidR="00000000" w:rsidDel="00000000" w:rsidP="00000000" w:rsidRDefault="00000000" w:rsidRPr="00000000" w14:paraId="0000001F">
            <w:pPr>
              <w:rPr>
                <w:sz w:val="20"/>
                <w:szCs w:val="20"/>
              </w:rPr>
            </w:pPr>
            <w:r w:rsidDel="00000000" w:rsidR="00000000" w:rsidRPr="00000000">
              <w:rPr>
                <w:sz w:val="20"/>
                <w:szCs w:val="20"/>
                <w:rtl w:val="0"/>
              </w:rPr>
              <w:t xml:space="preserve">Typical Interview Length</w:t>
            </w:r>
          </w:p>
        </w:tc>
        <w:tc>
          <w:tcPr/>
          <w:p w:rsidR="00000000" w:rsidDel="00000000" w:rsidP="00000000" w:rsidRDefault="00000000" w:rsidRPr="00000000" w14:paraId="00000020">
            <w:pPr>
              <w:rPr>
                <w:sz w:val="20"/>
                <w:szCs w:val="20"/>
              </w:rPr>
            </w:pPr>
            <w:r w:rsidDel="00000000" w:rsidR="00000000" w:rsidRPr="00000000">
              <w:rPr>
                <w:sz w:val="20"/>
                <w:szCs w:val="20"/>
                <w:rtl w:val="0"/>
              </w:rPr>
              <w:t xml:space="preserve">45 minutes</w:t>
            </w:r>
          </w:p>
        </w:tc>
      </w:tr>
      <w:tr>
        <w:trPr>
          <w:cantSplit w:val="0"/>
          <w:trHeight w:val="564.48" w:hRule="atLeast"/>
          <w:tblHeader w:val="0"/>
        </w:trPr>
        <w:tc>
          <w:tcPr/>
          <w:p w:rsidR="00000000" w:rsidDel="00000000" w:rsidP="00000000" w:rsidRDefault="00000000" w:rsidRPr="00000000" w14:paraId="00000021">
            <w:pPr>
              <w:rPr>
                <w:sz w:val="20"/>
                <w:szCs w:val="20"/>
              </w:rPr>
            </w:pPr>
            <w:r w:rsidDel="00000000" w:rsidR="00000000" w:rsidRPr="00000000">
              <w:rPr>
                <w:sz w:val="20"/>
                <w:szCs w:val="20"/>
                <w:rtl w:val="0"/>
              </w:rPr>
              <w:t xml:space="preserve">Contact Email</w:t>
            </w:r>
          </w:p>
        </w:tc>
        <w:tc>
          <w:tcPr/>
          <w:p w:rsidR="00000000" w:rsidDel="00000000" w:rsidP="00000000" w:rsidRDefault="00000000" w:rsidRPr="00000000" w14:paraId="00000022">
            <w:pPr>
              <w:rPr>
                <w:sz w:val="20"/>
                <w:szCs w:val="20"/>
              </w:rPr>
            </w:pPr>
            <w:r w:rsidDel="00000000" w:rsidR="00000000" w:rsidRPr="00000000">
              <w:rPr>
                <w:sz w:val="20"/>
                <w:szCs w:val="20"/>
                <w:rtl w:val="0"/>
              </w:rPr>
              <w:t xml:space="preserve">info@fifthelement.online</w:t>
            </w:r>
          </w:p>
        </w:tc>
      </w:tr>
      <w:tr>
        <w:trPr>
          <w:cantSplit w:val="0"/>
          <w:trHeight w:val="564.48" w:hRule="atLeast"/>
          <w:tblHeader w:val="0"/>
        </w:trPr>
        <w:tc>
          <w:tcPr/>
          <w:p w:rsidR="00000000" w:rsidDel="00000000" w:rsidP="00000000" w:rsidRDefault="00000000" w:rsidRPr="00000000" w14:paraId="00000023">
            <w:pPr>
              <w:rPr>
                <w:sz w:val="20"/>
                <w:szCs w:val="20"/>
              </w:rPr>
            </w:pPr>
            <w:r w:rsidDel="00000000" w:rsidR="00000000" w:rsidRPr="00000000">
              <w:rPr>
                <w:sz w:val="20"/>
                <w:szCs w:val="20"/>
                <w:rtl w:val="0"/>
              </w:rPr>
              <w:t xml:space="preserve">Website</w:t>
            </w:r>
          </w:p>
        </w:tc>
        <w:tc>
          <w:tcPr/>
          <w:p w:rsidR="00000000" w:rsidDel="00000000" w:rsidP="00000000" w:rsidRDefault="00000000" w:rsidRPr="00000000" w14:paraId="00000024">
            <w:pPr>
              <w:rPr>
                <w:sz w:val="20"/>
                <w:szCs w:val="20"/>
              </w:rPr>
            </w:pPr>
            <w:r w:rsidDel="00000000" w:rsidR="00000000" w:rsidRPr="00000000">
              <w:rPr>
                <w:sz w:val="20"/>
                <w:szCs w:val="20"/>
                <w:rtl w:val="0"/>
              </w:rPr>
              <w:t xml:space="preserve">fifthelement.online</w:t>
            </w:r>
          </w:p>
        </w:tc>
      </w:tr>
    </w:tbl>
    <w:p w:rsidR="00000000" w:rsidDel="00000000" w:rsidP="00000000" w:rsidRDefault="00000000" w:rsidRPr="00000000" w14:paraId="00000025">
      <w:pPr>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1010412" cy="1010412"/>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10412" cy="101041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rFonts w:ascii="Inter Medium" w:cs="Inter Medium" w:eastAsia="Inter Medium" w:hAnsi="Inter Medium"/>
      <w:b w:val="1"/>
      <w:bCs w:val="1"/>
      <w:color w:val="1f1f1f"/>
      <w:sz w:val="32"/>
      <w:szCs w:val="32"/>
    </w:rPr>
  </w:style>
  <w:style w:type="paragraph" w:styleId="Heading2">
    <w:name w:val="heading 2"/>
    <w:basedOn w:val="Normal"/>
    <w:next w:val="Normal"/>
    <w:pPr>
      <w:keepNext w:val="1"/>
      <w:keepLines w:val="1"/>
      <w:pageBreakBefore w:val="0"/>
      <w:spacing w:after="80" w:before="360" w:lineRule="auto"/>
    </w:pPr>
    <w:rPr>
      <w:rFonts w:ascii="Inter Medium" w:cs="Inter Medium" w:eastAsia="Inter Medium" w:hAnsi="Inter Medium"/>
      <w:b w:val="1"/>
      <w:bCs w:val="1"/>
      <w:color w:val="1f1f1f"/>
      <w:sz w:val="28"/>
      <w:szCs w:val="28"/>
    </w:rPr>
  </w:style>
  <w:style w:type="paragraph" w:styleId="Heading3">
    <w:name w:val="heading 3"/>
    <w:basedOn w:val="Normal"/>
    <w:next w:val="Normal"/>
    <w:pPr>
      <w:keepNext w:val="1"/>
      <w:keepLines w:val="1"/>
      <w:pageBreakBefore w:val="0"/>
      <w:spacing w:after="80" w:before="280" w:lineRule="auto"/>
    </w:pPr>
    <w:rPr>
      <w:rFonts w:ascii="Inter Medium" w:cs="Inter Medium" w:eastAsia="Inter Medium" w:hAnsi="Inter Medium"/>
      <w:b w:val="1"/>
      <w:bCs w:val="1"/>
      <w:color w:val="1f1f1f"/>
      <w:sz w:val="24"/>
      <w:szCs w:val="24"/>
    </w:rPr>
  </w:style>
  <w:style w:type="paragraph" w:styleId="Heading4">
    <w:name w:val="heading 4"/>
    <w:basedOn w:val="Normal"/>
    <w:next w:val="Normal"/>
    <w:pPr>
      <w:keepNext w:val="1"/>
      <w:keepLines w:val="1"/>
      <w:pageBreakBefore w:val="0"/>
      <w:spacing w:after="40" w:before="240" w:lineRule="auto"/>
    </w:pPr>
    <w:rPr>
      <w:rFonts w:ascii="Inter Medium" w:cs="Inter Medium" w:eastAsia="Inter Medium" w:hAnsi="Inter Medium"/>
      <w:b w:val="1"/>
      <w:bCs w:val="1"/>
      <w:color w:val="1f1f1f"/>
      <w:sz w:val="22"/>
      <w:szCs w:val="22"/>
    </w:rPr>
  </w:style>
  <w:style w:type="paragraph" w:styleId="Heading5">
    <w:name w:val="heading 5"/>
    <w:basedOn w:val="Normal"/>
    <w:next w:val="Normal"/>
    <w:pPr>
      <w:keepNext w:val="1"/>
      <w:keepLines w:val="1"/>
      <w:pageBreakBefore w:val="0"/>
      <w:spacing w:after="40" w:before="220" w:lineRule="auto"/>
    </w:pPr>
    <w:rPr>
      <w:rFonts w:ascii="Inter Medium" w:cs="Inter Medium" w:eastAsia="Inter Medium" w:hAnsi="Inter Medium"/>
      <w:b w:val="1"/>
      <w:bCs w:val="1"/>
      <w:i w:val="1"/>
      <w:iCs w:val="1"/>
      <w:color w:val="1f1f1f"/>
      <w:sz w:val="22"/>
      <w:szCs w:val="22"/>
    </w:rPr>
  </w:style>
  <w:style w:type="paragraph" w:styleId="Heading6">
    <w:name w:val="heading 6"/>
    <w:basedOn w:val="Normal"/>
    <w:next w:val="Normal"/>
    <w:pPr>
      <w:keepNext w:val="1"/>
      <w:keepLines w:val="1"/>
      <w:pageBreakBefore w:val="0"/>
      <w:spacing w:after="40" w:before="200" w:lineRule="auto"/>
    </w:pPr>
    <w:rPr>
      <w:rFonts w:ascii="Inter" w:cs="Inter" w:eastAsia="Inter" w:hAnsi="Inter"/>
      <w:b w:val="1"/>
      <w:bCs w:val="1"/>
      <w:i w:val="1"/>
      <w:iCs w:val="1"/>
      <w:color w:val="1f1f1f"/>
      <w:sz w:val="22"/>
      <w:szCs w:val="22"/>
    </w:rPr>
  </w:style>
  <w:style w:type="paragraph" w:styleId="Title">
    <w:name w:val="Title"/>
    <w:basedOn w:val="Normal"/>
    <w:next w:val="Normal"/>
    <w:pPr>
      <w:keepNext w:val="1"/>
      <w:keepLines w:val="1"/>
      <w:pageBreakBefore w:val="0"/>
      <w:spacing w:after="120" w:before="480" w:lineRule="auto"/>
    </w:pPr>
    <w:rPr>
      <w:rFonts w:ascii="Inter Medium" w:cs="Inter Medium" w:eastAsia="Inter Medium" w:hAnsi="Inter Medium"/>
      <w:b w:val="1"/>
      <w:bCs w:val="1"/>
      <w:color w:val="1f1f1f"/>
      <w:sz w:val="48"/>
      <w:szCs w:val="48"/>
    </w:rPr>
  </w:style>
  <w:style w:type="paragraph" w:styleId="Subtitle">
    <w:name w:val="Subtitle"/>
    <w:basedOn w:val="Normal"/>
    <w:next w:val="Normal"/>
    <w:pPr>
      <w:keepNext w:val="1"/>
      <w:keepLines w:val="1"/>
      <w:pageBreakBefore w:val="0"/>
      <w:spacing w:after="80" w:before="360" w:lineRule="auto"/>
    </w:pPr>
    <w:rPr>
      <w:rFonts w:ascii="Inter" w:cs="Inter" w:eastAsia="Inter" w:hAnsi="Inter"/>
      <w:i w:val="1"/>
      <w:iCs w:val="1"/>
      <w:color w:val="1f1f1f"/>
      <w:sz w:val="28"/>
      <w:szCs w:val="28"/>
    </w:rPr>
  </w:style>
  <w:style w:type="table" w:styleId="Table1">
    <w:basedOn w:val="TableNormal"/>
    <w:tblPr>
      <w:tblStyleRowBandSize w:val="1"/>
      <w:tblStyleColBandSize w:val="1"/>
      <w:tblCellMar/>
    </w:tblPr>
    <w:tblStylePr w:type="firstRow">
      <w:rPr>
        <w:rFonts w:ascii="Inter Medium" w:cs="Inter Medium" w:eastAsia="Inter Medium" w:hAnsi="Inter Medium"/>
        <w:color w:val="1f1f1f"/>
        <w:sz w:val="22"/>
        <w:szCs w:val="22"/>
      </w:rPr>
      <w:tcPr>
        <w:tcBorders>
          <w:top w:color="000000" w:space="0" w:sz="0" w:val="nil"/>
        </w:tcBorders>
        <w:shd w:fill="f2f2ef" w:val="clear"/>
        <w:vAlign w:val="cente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Medium-italic.ttf"/><Relationship Id="rId8" Type="http://schemas.openxmlformats.org/officeDocument/2006/relationships/font" Target="fonts/Inter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